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B1" w:rsidRPr="008B3CA3" w:rsidRDefault="00295359" w:rsidP="002B2FB1">
      <w:pPr>
        <w:pBdr>
          <w:bottom w:val="single" w:sz="36" w:space="4" w:color="1EA89C"/>
        </w:pBdr>
        <w:shd w:val="clear" w:color="auto" w:fill="FFFFFF"/>
        <w:spacing w:after="225" w:line="270" w:lineRule="atLeast"/>
        <w:textAlignment w:val="baseline"/>
        <w:outlineLvl w:val="0"/>
        <w:rPr>
          <w:rFonts w:ascii="Verdana" w:eastAsia="Times New Roman" w:hAnsi="Verdana" w:cs="Calibri"/>
          <w:b/>
          <w:bCs/>
          <w:caps/>
          <w:color w:val="003399"/>
          <w:kern w:val="36"/>
          <w:sz w:val="24"/>
          <w:szCs w:val="24"/>
          <w:lang w:eastAsia="hr-HR"/>
        </w:rPr>
      </w:pPr>
      <w:r w:rsidRPr="008B3CA3">
        <w:rPr>
          <w:rFonts w:ascii="Verdana" w:eastAsia="Times New Roman" w:hAnsi="Verdana" w:cs="Calibri"/>
          <w:b/>
          <w:bCs/>
          <w:caps/>
          <w:color w:val="003399"/>
          <w:kern w:val="36"/>
          <w:sz w:val="24"/>
          <w:szCs w:val="24"/>
          <w:lang w:eastAsia="hr-HR"/>
        </w:rPr>
        <w:t>RADNO VRIJEME I CIJENE</w:t>
      </w:r>
    </w:p>
    <w:p w:rsidR="008B3CA3" w:rsidRDefault="002B2FB1" w:rsidP="008B3C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ULAZNICA</w:t>
      </w:r>
    </w:p>
    <w:p w:rsidR="008B3CA3" w:rsidRDefault="002B2FB1" w:rsidP="008B3C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Ulaznica je doprinos za trajnu zaštitu i uređenje Nacionalnog parka Plitvička jezera. Vrijedi jedan dan, a ukoliko se odlučite na duži boravak u nekom od naših hotela ulaznicu možete produžiti na recepciji hotela u kojem boravite. Cijena ulaznice uključuje uporabu elektro - broda na jezeru Kozjak i panoramskog vlaka u okviru odabranog programa razgleda, osiguranje posjetitelja i porez na dodanu vrijednost. Rezervacija ulaznice nije potrebna za individualne posjetitelje već samo za organizirane grupe posjetitelja.</w:t>
      </w:r>
    </w:p>
    <w:p w:rsidR="008B3CA3" w:rsidRDefault="002B2FB1" w:rsidP="008B3C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 xml:space="preserve">CJENIK </w:t>
      </w:r>
      <w:r w:rsidR="008B3CA3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–</w:t>
      </w:r>
      <w:r w:rsidRPr="008B3CA3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 xml:space="preserve"> 2014</w:t>
      </w:r>
    </w:p>
    <w:p w:rsidR="008B3CA3" w:rsidRDefault="002B2FB1" w:rsidP="008B3C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Jednodnevne ulaznice</w:t>
      </w:r>
    </w:p>
    <w:p w:rsidR="002B2FB1" w:rsidRPr="008B3CA3" w:rsidRDefault="002B2FB1" w:rsidP="008B3CA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Valuta: Kuna (kn)</w:t>
      </w:r>
    </w:p>
    <w:tbl>
      <w:tblPr>
        <w:tblW w:w="0" w:type="auto"/>
        <w:jc w:val="center"/>
        <w:tblCellSpacing w:w="15" w:type="dxa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586"/>
        <w:gridCol w:w="2280"/>
        <w:gridCol w:w="2171"/>
      </w:tblGrid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KATEGORIJA POSJETITELJA</w:t>
            </w:r>
          </w:p>
        </w:tc>
        <w:tc>
          <w:tcPr>
            <w:tcW w:w="0" w:type="auto"/>
            <w:gridSpan w:val="3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 </w:t>
            </w: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 </w:t>
            </w: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PERIOD – CIJENA PO OSOBI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1.1. - 31.3. +</w:t>
            </w: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br/>
            </w: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1.11. - 31.12**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1.4. - 30.6. +</w:t>
            </w: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br/>
            </w: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1.9. - 31.10.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 </w:t>
            </w: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 </w:t>
            </w: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1.7. - 31.8.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Odrasli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180,00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Grupe odraslih*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160,00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Studenti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45,00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110,00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Grupe studenata*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100,00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Djeca 7 do 18 g.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35,00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55,00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80,00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Grupe djece*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30,00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351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DJECA DO 7 G. I INVALIDI S 50% I VIŠE INVALIDNOSTI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GRATIS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GRATIS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GRATIS</w:t>
            </w:r>
          </w:p>
        </w:tc>
      </w:tr>
    </w:tbl>
    <w:p w:rsidR="008B3CA3" w:rsidRDefault="002B2FB1" w:rsidP="00476C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*15 i više osoba – obvezna pisana najava dolaska preko Odjela prodaje za ostvarenje cijene</w:t>
      </w:r>
    </w:p>
    <w:p w:rsidR="008B3CA3" w:rsidRDefault="002B2FB1" w:rsidP="00476C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**panoramski vlak i elektrobrod izvan funkcije - moguć obilazak pješice – dnevno informacije o mogućnostima obilaska, ovisno o vremenskim prilikama, na ulazima u NP</w:t>
      </w:r>
    </w:p>
    <w:p w:rsidR="008B3CA3" w:rsidRDefault="008B3CA3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</w:p>
    <w:p w:rsidR="008B3CA3" w:rsidRDefault="002B2FB1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Dvodnevne ulaznice*</w:t>
      </w:r>
    </w:p>
    <w:p w:rsidR="002B2FB1" w:rsidRPr="008B3CA3" w:rsidRDefault="002B2FB1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Valuta: Kuna (kn)</w:t>
      </w:r>
    </w:p>
    <w:tbl>
      <w:tblPr>
        <w:tblW w:w="9810" w:type="dxa"/>
        <w:jc w:val="center"/>
        <w:tblCellSpacing w:w="15" w:type="dxa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65"/>
        <w:gridCol w:w="2420"/>
        <w:gridCol w:w="1856"/>
      </w:tblGrid>
      <w:tr w:rsidR="002B2FB1" w:rsidRPr="008B3CA3" w:rsidTr="008B3CA3">
        <w:trPr>
          <w:tblCellSpacing w:w="15" w:type="dxa"/>
          <w:jc w:val="center"/>
        </w:trPr>
        <w:tc>
          <w:tcPr>
            <w:tcW w:w="216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lastRenderedPageBreak/>
              <w:t>KATEGORIJA POSJETITELJA</w:t>
            </w:r>
          </w:p>
        </w:tc>
        <w:tc>
          <w:tcPr>
            <w:tcW w:w="0" w:type="auto"/>
            <w:gridSpan w:val="3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SEZONE – CIJENA PO OSOBI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216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1.1. - 31.3. + </w:t>
            </w: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br/>
            </w: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1.11. - 31.12</w:t>
            </w:r>
          </w:p>
        </w:tc>
        <w:tc>
          <w:tcPr>
            <w:tcW w:w="198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1.4. - 30.6 + 1.9. - 31.10.</w:t>
            </w:r>
          </w:p>
        </w:tc>
        <w:tc>
          <w:tcPr>
            <w:tcW w:w="15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1.7. - 31.8.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216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Odrasli</w:t>
            </w:r>
          </w:p>
        </w:tc>
        <w:tc>
          <w:tcPr>
            <w:tcW w:w="21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98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180,00</w:t>
            </w:r>
          </w:p>
        </w:tc>
        <w:tc>
          <w:tcPr>
            <w:tcW w:w="15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280,00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216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Studenti</w:t>
            </w:r>
          </w:p>
        </w:tc>
        <w:tc>
          <w:tcPr>
            <w:tcW w:w="21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70,00</w:t>
            </w:r>
          </w:p>
        </w:tc>
        <w:tc>
          <w:tcPr>
            <w:tcW w:w="198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130,00</w:t>
            </w:r>
          </w:p>
        </w:tc>
        <w:tc>
          <w:tcPr>
            <w:tcW w:w="15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210,00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216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Djeca 7 do 18 g.</w:t>
            </w:r>
          </w:p>
        </w:tc>
        <w:tc>
          <w:tcPr>
            <w:tcW w:w="21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55,00</w:t>
            </w:r>
          </w:p>
        </w:tc>
        <w:tc>
          <w:tcPr>
            <w:tcW w:w="198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90,00</w:t>
            </w:r>
          </w:p>
        </w:tc>
        <w:tc>
          <w:tcPr>
            <w:tcW w:w="1500" w:type="dxa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140,00</w:t>
            </w:r>
          </w:p>
        </w:tc>
      </w:tr>
    </w:tbl>
    <w:p w:rsidR="008B3CA3" w:rsidRDefault="002B2FB1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*obvezno upisivanje imena posjetitelja na ulaznicu</w:t>
      </w:r>
    </w:p>
    <w:p w:rsidR="008B3CA3" w:rsidRDefault="008B3CA3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</w:p>
    <w:p w:rsidR="008B3CA3" w:rsidRDefault="002B2FB1" w:rsidP="00476C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  <w:t>Navedene cijene ulaznica, uz doprinos trajnoj zaštiti i uređenju Nacionalnog parka Plitvička jezera, uključuju i korištenje panoramskog vozila i elektro-broda te osiguranje posjetitelja</w:t>
      </w:r>
    </w:p>
    <w:p w:rsidR="008B3CA3" w:rsidRDefault="008B3CA3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</w:pPr>
    </w:p>
    <w:p w:rsidR="002B2FB1" w:rsidRPr="008B3CA3" w:rsidRDefault="002B2FB1" w:rsidP="002B2FB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3399"/>
          <w:sz w:val="24"/>
          <w:szCs w:val="24"/>
          <w:lang w:eastAsia="hr-HR"/>
        </w:rPr>
      </w:pPr>
      <w:r w:rsidRPr="008B3CA3">
        <w:rPr>
          <w:rFonts w:ascii="Verdana" w:eastAsia="Times New Roman" w:hAnsi="Verdana" w:cs="Times New Roman"/>
          <w:b/>
          <w:bCs/>
          <w:color w:val="003399"/>
          <w:sz w:val="24"/>
          <w:szCs w:val="24"/>
          <w:lang w:eastAsia="hr-HR"/>
        </w:rPr>
        <w:t>CIJENE PARKIRANJA</w:t>
      </w:r>
    </w:p>
    <w:tbl>
      <w:tblPr>
        <w:tblW w:w="0" w:type="auto"/>
        <w:jc w:val="center"/>
        <w:tblCellSpacing w:w="15" w:type="dxa"/>
        <w:shd w:val="clear" w:color="auto" w:fill="66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1788"/>
      </w:tblGrid>
      <w:tr w:rsidR="002B2FB1" w:rsidRPr="008B3CA3" w:rsidTr="008B3CA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b/>
                <w:bCs/>
                <w:color w:val="003399"/>
                <w:sz w:val="24"/>
                <w:szCs w:val="24"/>
                <w:lang w:eastAsia="hr-HR"/>
              </w:rPr>
              <w:t>cijena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MOTOCIKL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0 Kn/sat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AUTOMOBIL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 Kn/sat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KAMPER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70 Kn/dan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AUTOMOBIL S PRIKOLICOM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70 Kn/dan</w:t>
            </w:r>
          </w:p>
        </w:tc>
      </w:tr>
      <w:tr w:rsidR="002B2FB1" w:rsidRPr="008B3CA3" w:rsidTr="008B3CA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AUTOBUS</w:t>
            </w:r>
          </w:p>
        </w:tc>
        <w:tc>
          <w:tcPr>
            <w:tcW w:w="0" w:type="auto"/>
            <w:tcBorders>
              <w:top w:val="single" w:sz="6" w:space="0" w:color="E8F3F2"/>
              <w:left w:val="single" w:sz="6" w:space="0" w:color="E8F3F2"/>
              <w:bottom w:val="single" w:sz="6" w:space="0" w:color="E8F3F2"/>
              <w:right w:val="single" w:sz="6" w:space="0" w:color="E8F3F2"/>
            </w:tcBorders>
            <w:shd w:val="clear" w:color="auto" w:fill="6699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2B2FB1" w:rsidRPr="008B3CA3" w:rsidRDefault="002B2FB1" w:rsidP="002B2FB1">
            <w:pPr>
              <w:spacing w:after="0" w:line="270" w:lineRule="atLeast"/>
              <w:textAlignment w:val="baseline"/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</w:pPr>
            <w:r w:rsidRPr="008B3CA3">
              <w:rPr>
                <w:rFonts w:ascii="Verdana" w:eastAsia="Times New Roman" w:hAnsi="Verdana" w:cs="Calibri"/>
                <w:color w:val="003399"/>
                <w:sz w:val="24"/>
                <w:szCs w:val="24"/>
                <w:lang w:eastAsia="hr-HR"/>
              </w:rPr>
              <w:t>70 Kn/dan</w:t>
            </w:r>
          </w:p>
        </w:tc>
      </w:tr>
    </w:tbl>
    <w:p w:rsidR="002B2FB1" w:rsidRDefault="002B2FB1" w:rsidP="00295359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Calibri"/>
          <w:color w:val="003399"/>
          <w:sz w:val="24"/>
          <w:szCs w:val="24"/>
          <w:lang w:eastAsia="hr-HR"/>
        </w:rPr>
      </w:pPr>
    </w:p>
    <w:p w:rsidR="008B3CA3" w:rsidRDefault="00641CDF" w:rsidP="00476CCC">
      <w:pPr>
        <w:jc w:val="both"/>
        <w:rPr>
          <w:rFonts w:ascii="Verdana" w:hAnsi="Verdana" w:cs="Times New Roman"/>
          <w:color w:val="003399"/>
          <w:sz w:val="24"/>
          <w:szCs w:val="24"/>
        </w:rPr>
      </w:pPr>
      <w:bookmarkStart w:id="0" w:name="_GoBack"/>
      <w:bookmarkEnd w:id="0"/>
      <w:r w:rsidRPr="008B3CA3">
        <w:rPr>
          <w:rFonts w:ascii="Verdana" w:hAnsi="Verdana" w:cs="Times New Roman"/>
          <w:color w:val="003399"/>
          <w:sz w:val="24"/>
          <w:szCs w:val="24"/>
        </w:rPr>
        <w:t>Dodatne informacije/ULAZ:+385 0 53 751 026</w:t>
      </w:r>
    </w:p>
    <w:p w:rsidR="008B3CA3" w:rsidRDefault="00641CDF" w:rsidP="00476CCC">
      <w:pPr>
        <w:jc w:val="both"/>
        <w:rPr>
          <w:rFonts w:ascii="Verdana" w:hAnsi="Verdana" w:cs="Times New Roman"/>
          <w:color w:val="003399"/>
          <w:sz w:val="24"/>
          <w:szCs w:val="24"/>
        </w:rPr>
      </w:pPr>
      <w:r w:rsidRPr="008B3CA3">
        <w:rPr>
          <w:rFonts w:ascii="Verdana" w:hAnsi="Verdana" w:cs="Times New Roman"/>
          <w:color w:val="003399"/>
          <w:sz w:val="24"/>
          <w:szCs w:val="24"/>
        </w:rPr>
        <w:t>Rezervacije/ ODJEL PRODAJE: +385 0 53 751 014, 751 015</w:t>
      </w:r>
    </w:p>
    <w:p w:rsidR="008B3CA3" w:rsidRDefault="00641CDF" w:rsidP="00476CCC">
      <w:pPr>
        <w:jc w:val="both"/>
        <w:rPr>
          <w:rFonts w:ascii="Verdana" w:hAnsi="Verdana" w:cs="Times New Roman"/>
          <w:color w:val="003399"/>
          <w:sz w:val="24"/>
          <w:szCs w:val="24"/>
        </w:rPr>
      </w:pPr>
      <w:r w:rsidRPr="008B3CA3">
        <w:rPr>
          <w:rFonts w:ascii="Verdana" w:hAnsi="Verdana" w:cs="Times New Roman"/>
          <w:color w:val="003399"/>
          <w:sz w:val="24"/>
          <w:szCs w:val="24"/>
        </w:rPr>
        <w:t>Napomena: dozvoljena posjeta sa psima isključivo na uzici.</w:t>
      </w:r>
    </w:p>
    <w:p w:rsidR="008B3CA3" w:rsidRDefault="00641CDF" w:rsidP="00476CCC">
      <w:pPr>
        <w:jc w:val="both"/>
        <w:rPr>
          <w:rFonts w:ascii="Verdana" w:hAnsi="Verdana" w:cs="Times New Roman"/>
          <w:color w:val="003399"/>
          <w:sz w:val="24"/>
          <w:szCs w:val="24"/>
        </w:rPr>
      </w:pPr>
      <w:r w:rsidRPr="008B3CA3">
        <w:rPr>
          <w:rFonts w:ascii="Verdana" w:hAnsi="Verdana" w:cs="Times New Roman"/>
          <w:color w:val="003399"/>
          <w:sz w:val="24"/>
          <w:szCs w:val="24"/>
        </w:rPr>
        <w:t>Za daljnje informacije molimo Vas kontaktirajte odjel turističke prodaje.</w:t>
      </w:r>
    </w:p>
    <w:p w:rsidR="00674FB6" w:rsidRPr="008B3CA3" w:rsidRDefault="00641CDF" w:rsidP="00476CCC">
      <w:pPr>
        <w:jc w:val="both"/>
        <w:rPr>
          <w:rFonts w:ascii="Verdana" w:hAnsi="Verdana"/>
          <w:color w:val="003399"/>
          <w:sz w:val="24"/>
          <w:szCs w:val="24"/>
        </w:rPr>
      </w:pPr>
      <w:r w:rsidRPr="008B3CA3">
        <w:rPr>
          <w:rFonts w:ascii="Verdana" w:hAnsi="Verdana" w:cs="Times New Roman"/>
          <w:color w:val="003399"/>
          <w:sz w:val="24"/>
          <w:szCs w:val="24"/>
        </w:rPr>
        <w:t>Nacionalni park zadržava pravo izmjene cijena.</w:t>
      </w:r>
    </w:p>
    <w:sectPr w:rsidR="00674FB6" w:rsidRPr="008B3CA3" w:rsidSect="00374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359"/>
    <w:rsid w:val="00086026"/>
    <w:rsid w:val="001221CD"/>
    <w:rsid w:val="00295359"/>
    <w:rsid w:val="002B2FB1"/>
    <w:rsid w:val="00344E00"/>
    <w:rsid w:val="003749FC"/>
    <w:rsid w:val="00476CCC"/>
    <w:rsid w:val="0050028C"/>
    <w:rsid w:val="00641CDF"/>
    <w:rsid w:val="00674FB6"/>
    <w:rsid w:val="008B3CA3"/>
    <w:rsid w:val="00A02CD8"/>
    <w:rsid w:val="00AB0D0B"/>
    <w:rsid w:val="00BF1A87"/>
    <w:rsid w:val="00C943E0"/>
    <w:rsid w:val="00D168E9"/>
    <w:rsid w:val="00D9414D"/>
    <w:rsid w:val="00E326F0"/>
    <w:rsid w:val="00F24D06"/>
    <w:rsid w:val="00F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6"/>
  </w:style>
  <w:style w:type="paragraph" w:styleId="Naslov1">
    <w:name w:val="heading 1"/>
    <w:basedOn w:val="Normal"/>
    <w:link w:val="Naslov1Char"/>
    <w:uiPriority w:val="9"/>
    <w:qFormat/>
    <w:rsid w:val="00295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95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95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95359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95359"/>
    <w:rPr>
      <w:rFonts w:ascii="Times New Roman" w:eastAsia="Times New Roman" w:hAnsi="Times New Roman" w:cs="Times New Roman"/>
      <w:b/>
      <w:bCs/>
      <w:color w:val="auto"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95359"/>
    <w:rPr>
      <w:rFonts w:ascii="Times New Roman" w:eastAsia="Times New Roman" w:hAnsi="Times New Roman" w:cs="Times New Roman"/>
      <w:b/>
      <w:bCs/>
      <w:color w:val="auto"/>
      <w:sz w:val="27"/>
      <w:szCs w:val="27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2953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295359"/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2953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295359"/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29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95359"/>
    <w:rPr>
      <w:b/>
      <w:bCs/>
    </w:rPr>
  </w:style>
  <w:style w:type="character" w:customStyle="1" w:styleId="apple-converted-space">
    <w:name w:val="apple-converted-space"/>
    <w:basedOn w:val="Zadanifontodlomka"/>
    <w:rsid w:val="00295359"/>
  </w:style>
  <w:style w:type="character" w:styleId="Istaknuto">
    <w:name w:val="Emphasis"/>
    <w:basedOn w:val="Zadanifontodlomka"/>
    <w:uiPriority w:val="20"/>
    <w:qFormat/>
    <w:rsid w:val="002953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4" w:color="1EA89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13</cp:revision>
  <dcterms:created xsi:type="dcterms:W3CDTF">2013-05-14T19:34:00Z</dcterms:created>
  <dcterms:modified xsi:type="dcterms:W3CDTF">2015-05-10T16:21:00Z</dcterms:modified>
</cp:coreProperties>
</file>